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601" w:type="dxa"/>
        <w:tblLook w:val="01E0" w:firstRow="1" w:lastRow="1" w:firstColumn="1" w:lastColumn="1" w:noHBand="0" w:noVBand="0"/>
      </w:tblPr>
      <w:tblGrid>
        <w:gridCol w:w="4962"/>
        <w:gridCol w:w="5245"/>
      </w:tblGrid>
      <w:tr w:rsidR="0016793F" w:rsidTr="0016793F">
        <w:trPr>
          <w:trHeight w:val="765"/>
        </w:trPr>
        <w:tc>
          <w:tcPr>
            <w:tcW w:w="4962" w:type="dxa"/>
          </w:tcPr>
          <w:p w:rsidR="0016793F" w:rsidRDefault="0016793F">
            <w:pPr>
              <w:pStyle w:val="Heading1"/>
              <w:jc w:val="center"/>
              <w:rPr>
                <w:rFonts w:ascii="Times New Roman" w:hAnsi="Times New Roman"/>
                <w:szCs w:val="24"/>
                <w:lang w:val="vi-VN" w:eastAsia="en-US"/>
              </w:rPr>
            </w:pPr>
            <w:r>
              <w:rPr>
                <w:rFonts w:ascii="Times New Roman" w:hAnsi="Times New Roman"/>
                <w:szCs w:val="24"/>
                <w:lang w:val="en-US" w:eastAsia="en-US"/>
              </w:rPr>
              <w:t>TỔNG LIÊN ĐOÀN LAO ĐỘNG VIỆT NAM</w:t>
            </w:r>
          </w:p>
          <w:p w:rsidR="0016793F" w:rsidRDefault="0016793F">
            <w:pPr>
              <w:spacing w:after="0"/>
              <w:jc w:val="center"/>
              <w:rPr>
                <w:b/>
                <w:sz w:val="24"/>
                <w:szCs w:val="24"/>
              </w:rPr>
            </w:pPr>
            <w:r>
              <w:rPr>
                <w:b/>
                <w:sz w:val="24"/>
                <w:szCs w:val="24"/>
              </w:rPr>
              <w:t>CÔNG ĐOÀN XÂY DỰNG VIỆT NAM</w:t>
            </w:r>
          </w:p>
          <w:p w:rsidR="0016793F" w:rsidRDefault="0016793F">
            <w:pPr>
              <w:spacing w:after="0"/>
              <w:jc w:val="center"/>
              <w:rPr>
                <w:b/>
                <w:sz w:val="26"/>
                <w:szCs w:val="2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208915</wp:posOffset>
                      </wp:positionH>
                      <wp:positionV relativeFrom="paragraph">
                        <wp:posOffset>6984</wp:posOffset>
                      </wp:positionV>
                      <wp:extent cx="26263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5pt,.55pt" to="22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2T3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"/>
                  </w:pict>
                </mc:Fallback>
              </mc:AlternateContent>
            </w:r>
          </w:p>
          <w:p w:rsidR="0016793F" w:rsidRDefault="0016793F" w:rsidP="00B11CB2">
            <w:pPr>
              <w:spacing w:after="0"/>
              <w:ind w:right="34"/>
              <w:jc w:val="center"/>
              <w:rPr>
                <w:sz w:val="26"/>
                <w:szCs w:val="28"/>
                <w:lang w:val="vi-VN"/>
              </w:rPr>
            </w:pPr>
            <w:r>
              <w:rPr>
                <w:iCs/>
                <w:sz w:val="26"/>
                <w:szCs w:val="26"/>
              </w:rPr>
              <w:t xml:space="preserve">Số:  </w:t>
            </w:r>
            <w:r w:rsidR="00B11CB2">
              <w:rPr>
                <w:iCs/>
                <w:sz w:val="26"/>
                <w:szCs w:val="26"/>
              </w:rPr>
              <w:t>542</w:t>
            </w:r>
            <w:r>
              <w:rPr>
                <w:iCs/>
                <w:sz w:val="26"/>
                <w:szCs w:val="26"/>
              </w:rPr>
              <w:t>/KH–CĐXD</w:t>
            </w:r>
          </w:p>
        </w:tc>
        <w:tc>
          <w:tcPr>
            <w:tcW w:w="5245" w:type="dxa"/>
          </w:tcPr>
          <w:p w:rsidR="0016793F" w:rsidRDefault="0016793F">
            <w:pPr>
              <w:pStyle w:val="Heading1"/>
              <w:jc w:val="center"/>
              <w:rPr>
                <w:rFonts w:ascii="Times New Roman" w:hAnsi="Times New Roman"/>
                <w:b/>
                <w:szCs w:val="24"/>
                <w:lang w:val="vi-VN" w:eastAsia="en-US"/>
              </w:rPr>
            </w:pPr>
            <w:r>
              <w:rPr>
                <w:rFonts w:ascii="Times New Roman" w:hAnsi="Times New Roman"/>
                <w:b/>
                <w:szCs w:val="24"/>
                <w:lang w:val="vi-VN" w:eastAsia="en-US"/>
              </w:rPr>
              <w:t>CỘNG HÒA XÃ HỘI CHỦ NGHĨA VIỆT NAM</w:t>
            </w:r>
          </w:p>
          <w:p w:rsidR="0016793F" w:rsidRDefault="0016793F">
            <w:pPr>
              <w:spacing w:after="0"/>
              <w:jc w:val="center"/>
              <w:rPr>
                <w:b/>
                <w:sz w:val="26"/>
                <w:szCs w:val="26"/>
              </w:rPr>
            </w:pPr>
            <w:r>
              <w:rPr>
                <w:b/>
                <w:sz w:val="26"/>
                <w:szCs w:val="26"/>
              </w:rPr>
              <w:t>Độc lập - Tự do - Hạnh phúc</w:t>
            </w:r>
          </w:p>
          <w:p w:rsidR="0016793F" w:rsidRDefault="0016793F">
            <w:pPr>
              <w:spacing w:after="0"/>
              <w:jc w:val="center"/>
              <w:rPr>
                <w:b/>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671830</wp:posOffset>
                      </wp:positionH>
                      <wp:positionV relativeFrom="paragraph">
                        <wp:posOffset>7619</wp:posOffset>
                      </wp:positionV>
                      <wp:extent cx="197040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9pt,.6pt" to="20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8M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GU5ukUI3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"/>
                  </w:pict>
                </mc:Fallback>
              </mc:AlternateContent>
            </w:r>
          </w:p>
          <w:p w:rsidR="0016793F" w:rsidRDefault="0016793F">
            <w:pPr>
              <w:spacing w:after="0"/>
              <w:ind w:firstLine="34"/>
              <w:jc w:val="center"/>
              <w:rPr>
                <w:b/>
                <w:sz w:val="26"/>
                <w:szCs w:val="26"/>
                <w:lang w:val="vi-VN"/>
              </w:rPr>
            </w:pPr>
            <w:r>
              <w:rPr>
                <w:i/>
                <w:sz w:val="26"/>
                <w:szCs w:val="26"/>
              </w:rPr>
              <w:t>Hà Nội</w:t>
            </w:r>
            <w:r>
              <w:rPr>
                <w:i/>
                <w:sz w:val="26"/>
                <w:szCs w:val="26"/>
                <w:lang w:val="vi-VN"/>
              </w:rPr>
              <w:t xml:space="preserve">, ngày </w:t>
            </w:r>
            <w:r>
              <w:rPr>
                <w:i/>
                <w:sz w:val="26"/>
                <w:szCs w:val="26"/>
              </w:rPr>
              <w:t xml:space="preserve">  </w:t>
            </w:r>
            <w:r w:rsidR="00B11CB2">
              <w:rPr>
                <w:i/>
                <w:sz w:val="26"/>
                <w:szCs w:val="26"/>
              </w:rPr>
              <w:t>10</w:t>
            </w:r>
            <w:bookmarkStart w:id="0" w:name="_GoBack"/>
            <w:bookmarkEnd w:id="0"/>
            <w:r>
              <w:rPr>
                <w:i/>
                <w:sz w:val="26"/>
                <w:szCs w:val="26"/>
              </w:rPr>
              <w:t xml:space="preserve">   </w:t>
            </w:r>
            <w:r>
              <w:rPr>
                <w:i/>
                <w:sz w:val="26"/>
                <w:szCs w:val="26"/>
                <w:lang w:val="vi-VN"/>
              </w:rPr>
              <w:t xml:space="preserve">tháng </w:t>
            </w:r>
            <w:r>
              <w:rPr>
                <w:i/>
                <w:sz w:val="26"/>
                <w:szCs w:val="26"/>
              </w:rPr>
              <w:t xml:space="preserve"> 8 </w:t>
            </w:r>
            <w:r>
              <w:rPr>
                <w:i/>
                <w:sz w:val="26"/>
                <w:szCs w:val="26"/>
                <w:lang w:val="vi-VN"/>
              </w:rPr>
              <w:t>năm 201</w:t>
            </w:r>
            <w:r>
              <w:rPr>
                <w:i/>
                <w:sz w:val="26"/>
                <w:szCs w:val="26"/>
              </w:rPr>
              <w:t>7</w:t>
            </w:r>
          </w:p>
        </w:tc>
      </w:tr>
    </w:tbl>
    <w:p w:rsidR="0016793F" w:rsidRDefault="0016793F" w:rsidP="0016793F">
      <w:pPr>
        <w:spacing w:after="0" w:line="240" w:lineRule="auto"/>
        <w:jc w:val="center"/>
        <w:rPr>
          <w:b/>
          <w:sz w:val="32"/>
          <w:szCs w:val="32"/>
        </w:rPr>
      </w:pPr>
    </w:p>
    <w:p w:rsidR="0016793F" w:rsidRDefault="0016793F" w:rsidP="0016793F">
      <w:pPr>
        <w:spacing w:after="0" w:line="240" w:lineRule="auto"/>
        <w:jc w:val="center"/>
        <w:rPr>
          <w:b/>
          <w:sz w:val="32"/>
          <w:szCs w:val="32"/>
        </w:rPr>
      </w:pPr>
    </w:p>
    <w:p w:rsidR="0016793F" w:rsidRDefault="0016793F" w:rsidP="0016793F">
      <w:pPr>
        <w:spacing w:after="0" w:line="240" w:lineRule="auto"/>
        <w:jc w:val="center"/>
        <w:rPr>
          <w:b/>
          <w:sz w:val="28"/>
          <w:szCs w:val="28"/>
        </w:rPr>
      </w:pPr>
      <w:r>
        <w:rPr>
          <w:b/>
          <w:sz w:val="28"/>
          <w:szCs w:val="28"/>
        </w:rPr>
        <w:t>KẾ HOẠCH</w:t>
      </w:r>
    </w:p>
    <w:p w:rsidR="0016793F" w:rsidRDefault="0016793F" w:rsidP="0016793F">
      <w:pPr>
        <w:spacing w:after="0" w:line="240" w:lineRule="auto"/>
        <w:jc w:val="center"/>
        <w:rPr>
          <w:b/>
          <w:sz w:val="28"/>
          <w:szCs w:val="28"/>
        </w:rPr>
      </w:pPr>
      <w:r>
        <w:rPr>
          <w:b/>
          <w:sz w:val="28"/>
          <w:szCs w:val="28"/>
        </w:rPr>
        <w:t xml:space="preserve">Thực hiện Nghị quyết 12b/NQ-BCH ngày 12/7/2017 của Ban Chấp hành </w:t>
      </w:r>
    </w:p>
    <w:p w:rsidR="0016793F" w:rsidRDefault="0016793F" w:rsidP="0016793F">
      <w:pPr>
        <w:spacing w:after="0" w:line="240" w:lineRule="auto"/>
        <w:jc w:val="center"/>
        <w:rPr>
          <w:b/>
          <w:sz w:val="28"/>
          <w:szCs w:val="28"/>
        </w:rPr>
      </w:pPr>
      <w:r>
        <w:rPr>
          <w:b/>
          <w:sz w:val="28"/>
          <w:szCs w:val="28"/>
        </w:rPr>
        <w:t xml:space="preserve">Tổng Liên đoàn Lao động Việt Nam (khóa XI) về </w:t>
      </w:r>
      <w:r w:rsidR="00E0121C">
        <w:rPr>
          <w:b/>
          <w:sz w:val="28"/>
          <w:szCs w:val="28"/>
        </w:rPr>
        <w:t>ban n</w:t>
      </w:r>
      <w:r>
        <w:rPr>
          <w:b/>
          <w:sz w:val="28"/>
          <w:szCs w:val="28"/>
        </w:rPr>
        <w:t>ữ công quần chúng doanh nghiệp ngoài khu vực nhà nước</w:t>
      </w:r>
    </w:p>
    <w:p w:rsidR="0016793F" w:rsidRDefault="0016793F" w:rsidP="0016793F">
      <w:pPr>
        <w:spacing w:after="0" w:line="240" w:lineRule="auto"/>
        <w:jc w:val="center"/>
        <w:rPr>
          <w:b/>
          <w:sz w:val="28"/>
          <w:szCs w:val="32"/>
        </w:rPr>
      </w:pPr>
      <w:r>
        <w:rPr>
          <w:b/>
          <w:sz w:val="28"/>
          <w:szCs w:val="32"/>
        </w:rPr>
        <w:t>---------------------</w:t>
      </w:r>
    </w:p>
    <w:p w:rsidR="0016793F" w:rsidRDefault="0016793F" w:rsidP="0016793F">
      <w:pPr>
        <w:spacing w:after="0" w:line="240" w:lineRule="auto"/>
        <w:jc w:val="center"/>
        <w:rPr>
          <w:b/>
          <w:sz w:val="28"/>
          <w:szCs w:val="32"/>
        </w:rPr>
      </w:pPr>
    </w:p>
    <w:p w:rsidR="0016793F" w:rsidRDefault="0016793F" w:rsidP="0016793F">
      <w:pPr>
        <w:spacing w:after="0" w:line="240" w:lineRule="auto"/>
        <w:ind w:firstLine="720"/>
        <w:jc w:val="both"/>
        <w:rPr>
          <w:sz w:val="28"/>
          <w:szCs w:val="32"/>
        </w:rPr>
      </w:pPr>
      <w:r>
        <w:rPr>
          <w:sz w:val="28"/>
          <w:szCs w:val="32"/>
        </w:rPr>
        <w:t xml:space="preserve">Thực hiện Nghị quyết 12b/NQ-BCH ngày 12/7/2017 của Ban Chấp hành Tổng Liên đoàn Lao động Việt Nam (khóa XI) về </w:t>
      </w:r>
      <w:r w:rsidR="00E0121C">
        <w:rPr>
          <w:sz w:val="28"/>
          <w:szCs w:val="32"/>
        </w:rPr>
        <w:t>b</w:t>
      </w:r>
      <w:r w:rsidR="00E0121C">
        <w:rPr>
          <w:sz w:val="28"/>
          <w:szCs w:val="28"/>
        </w:rPr>
        <w:t>an n</w:t>
      </w:r>
      <w:r>
        <w:rPr>
          <w:sz w:val="28"/>
          <w:szCs w:val="28"/>
        </w:rPr>
        <w:t>ữ công quần chúng doanh nghiệp ngoài khu vực nhà nước</w:t>
      </w:r>
      <w:r>
        <w:rPr>
          <w:sz w:val="28"/>
          <w:szCs w:val="32"/>
        </w:rPr>
        <w:t>, Công đoàn Xây dựng Việt Nam xây dựng kế hoạch triển khai thực hiện như sau:</w:t>
      </w:r>
    </w:p>
    <w:p w:rsidR="0016793F" w:rsidRDefault="0016793F" w:rsidP="0016793F">
      <w:pPr>
        <w:widowControl w:val="0"/>
        <w:spacing w:after="0" w:line="240" w:lineRule="auto"/>
        <w:ind w:firstLine="720"/>
        <w:jc w:val="both"/>
        <w:rPr>
          <w:b/>
          <w:sz w:val="28"/>
          <w:szCs w:val="28"/>
        </w:rPr>
      </w:pPr>
    </w:p>
    <w:p w:rsidR="0016793F" w:rsidRDefault="0016793F" w:rsidP="0016793F">
      <w:pPr>
        <w:pStyle w:val="NormalWeb"/>
        <w:shd w:val="clear" w:color="auto" w:fill="FFFFFF"/>
        <w:spacing w:before="0" w:beforeAutospacing="0" w:after="0" w:afterAutospacing="0"/>
        <w:ind w:firstLine="720"/>
        <w:jc w:val="both"/>
        <w:rPr>
          <w:color w:val="000000"/>
          <w:sz w:val="28"/>
          <w:szCs w:val="28"/>
        </w:rPr>
      </w:pPr>
      <w:bookmarkStart w:id="1" w:name="bookmark1"/>
      <w:r>
        <w:rPr>
          <w:b/>
          <w:bCs/>
          <w:color w:val="000000"/>
          <w:sz w:val="28"/>
          <w:szCs w:val="28"/>
        </w:rPr>
        <w:t>I</w:t>
      </w:r>
      <w:r>
        <w:rPr>
          <w:b/>
          <w:bCs/>
          <w:color w:val="000000"/>
          <w:sz w:val="28"/>
          <w:szCs w:val="28"/>
          <w:lang w:val="vi-VN"/>
        </w:rPr>
        <w:t>. M</w:t>
      </w:r>
      <w:r>
        <w:rPr>
          <w:b/>
          <w:bCs/>
          <w:color w:val="000000"/>
          <w:sz w:val="28"/>
          <w:szCs w:val="28"/>
        </w:rPr>
        <w:t>ỤC TIÊU</w:t>
      </w:r>
      <w:bookmarkEnd w:id="1"/>
      <w:r>
        <w:rPr>
          <w:b/>
          <w:bCs/>
          <w:color w:val="000000"/>
          <w:sz w:val="28"/>
          <w:szCs w:val="28"/>
        </w:rPr>
        <w:t>, CHỈ TIÊU</w:t>
      </w:r>
    </w:p>
    <w:p w:rsidR="0016793F" w:rsidRDefault="0016793F" w:rsidP="0016793F">
      <w:pPr>
        <w:spacing w:after="120" w:line="240" w:lineRule="auto"/>
        <w:ind w:firstLine="720"/>
        <w:jc w:val="both"/>
        <w:rPr>
          <w:b/>
          <w:sz w:val="28"/>
          <w:szCs w:val="28"/>
        </w:rPr>
      </w:pPr>
      <w:bookmarkStart w:id="2" w:name="bookmark2"/>
      <w:r>
        <w:rPr>
          <w:b/>
          <w:sz w:val="28"/>
          <w:szCs w:val="28"/>
        </w:rPr>
        <w:t xml:space="preserve">1. Mục tiêu </w:t>
      </w:r>
    </w:p>
    <w:p w:rsidR="0016793F" w:rsidRDefault="0016793F" w:rsidP="0016793F">
      <w:pPr>
        <w:spacing w:after="120" w:line="240" w:lineRule="auto"/>
        <w:ind w:firstLine="720"/>
        <w:jc w:val="both"/>
        <w:rPr>
          <w:spacing w:val="-4"/>
          <w:sz w:val="28"/>
          <w:szCs w:val="28"/>
        </w:rPr>
      </w:pPr>
      <w:r>
        <w:rPr>
          <w:spacing w:val="-4"/>
          <w:sz w:val="28"/>
          <w:szCs w:val="28"/>
        </w:rPr>
        <w:t>- Tăng tỷ lệ thành lập ban nữ công quần chúng tại các công đoàn doanh nghiệp ngoài khu vực nhà nước theo quy định của Điều lệ Công đoàn Việt Nam.</w:t>
      </w:r>
    </w:p>
    <w:p w:rsidR="0016793F" w:rsidRDefault="0016793F" w:rsidP="0016793F">
      <w:pPr>
        <w:spacing w:after="120" w:line="240" w:lineRule="auto"/>
        <w:ind w:firstLine="720"/>
        <w:jc w:val="both"/>
        <w:rPr>
          <w:sz w:val="28"/>
          <w:szCs w:val="28"/>
        </w:rPr>
      </w:pPr>
      <w:r>
        <w:rPr>
          <w:sz w:val="28"/>
          <w:szCs w:val="28"/>
        </w:rPr>
        <w:t>- N</w:t>
      </w:r>
      <w:r>
        <w:rPr>
          <w:sz w:val="28"/>
          <w:szCs w:val="28"/>
          <w:lang w:val="vi-VN"/>
        </w:rPr>
        <w:t>âng cao chất lượng hoạt động củ</w:t>
      </w:r>
      <w:r w:rsidR="00E0121C">
        <w:rPr>
          <w:sz w:val="28"/>
          <w:szCs w:val="28"/>
          <w:lang w:val="vi-VN"/>
        </w:rPr>
        <w:t xml:space="preserve">a </w:t>
      </w:r>
      <w:r w:rsidR="00E0121C">
        <w:rPr>
          <w:sz w:val="28"/>
          <w:szCs w:val="28"/>
        </w:rPr>
        <w:t>b</w:t>
      </w:r>
      <w:r>
        <w:rPr>
          <w:sz w:val="28"/>
          <w:szCs w:val="28"/>
          <w:lang w:val="vi-VN"/>
        </w:rPr>
        <w:t xml:space="preserve">an </w:t>
      </w:r>
      <w:r w:rsidR="00E0121C">
        <w:rPr>
          <w:sz w:val="28"/>
          <w:szCs w:val="28"/>
        </w:rPr>
        <w:t>n</w:t>
      </w:r>
      <w:r>
        <w:rPr>
          <w:sz w:val="28"/>
          <w:szCs w:val="28"/>
          <w:lang w:val="vi-VN"/>
        </w:rPr>
        <w:t xml:space="preserve">ữ công </w:t>
      </w:r>
      <w:r>
        <w:rPr>
          <w:sz w:val="28"/>
          <w:szCs w:val="28"/>
        </w:rPr>
        <w:t>quần chúng doanh nghiệp ngoài khu vực nhà nước. Đổi</w:t>
      </w:r>
      <w:r>
        <w:rPr>
          <w:sz w:val="28"/>
          <w:szCs w:val="28"/>
          <w:lang w:val="vi-VN"/>
        </w:rPr>
        <w:t xml:space="preserve"> mới nội dung, phương thức hoạt động nữ công phù hợp với yêu cầu thực tiễn </w:t>
      </w:r>
      <w:r>
        <w:rPr>
          <w:sz w:val="28"/>
          <w:szCs w:val="28"/>
        </w:rPr>
        <w:t xml:space="preserve">và nhiệm vụ của tổ chức công đoàn trong giai đoạn hiện nay. </w:t>
      </w:r>
    </w:p>
    <w:p w:rsidR="0016793F" w:rsidRDefault="0016793F" w:rsidP="0016793F">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lang w:val="vi-VN"/>
        </w:rPr>
        <w:t>2. Chỉ tiêu c</w:t>
      </w:r>
      <w:bookmarkEnd w:id="2"/>
      <w:r>
        <w:rPr>
          <w:b/>
          <w:bCs/>
          <w:color w:val="000000"/>
          <w:sz w:val="28"/>
          <w:szCs w:val="28"/>
        </w:rPr>
        <w:t>ụ</w:t>
      </w:r>
      <w:r>
        <w:rPr>
          <w:rStyle w:val="apple-converted-space"/>
          <w:b/>
          <w:bCs/>
          <w:color w:val="000000"/>
          <w:sz w:val="28"/>
          <w:szCs w:val="28"/>
        </w:rPr>
        <w:t> </w:t>
      </w:r>
      <w:r>
        <w:rPr>
          <w:b/>
          <w:bCs/>
          <w:color w:val="000000"/>
          <w:sz w:val="28"/>
          <w:szCs w:val="28"/>
          <w:lang w:val="vi-VN"/>
        </w:rPr>
        <w:t>thể</w:t>
      </w:r>
    </w:p>
    <w:p w:rsidR="0016793F" w:rsidRDefault="0016793F" w:rsidP="0016793F">
      <w:pPr>
        <w:spacing w:after="120" w:line="240" w:lineRule="auto"/>
        <w:ind w:firstLine="720"/>
        <w:jc w:val="both"/>
        <w:rPr>
          <w:i/>
          <w:sz w:val="28"/>
          <w:szCs w:val="28"/>
          <w:u w:val="single"/>
        </w:rPr>
      </w:pPr>
      <w:r>
        <w:rPr>
          <w:sz w:val="28"/>
          <w:szCs w:val="28"/>
        </w:rPr>
        <w:t>- Phấn đấu từ nay đến cuối nhiệm kỳ 2018-2023 có 75</w:t>
      </w:r>
      <w:r>
        <w:rPr>
          <w:sz w:val="28"/>
          <w:szCs w:val="28"/>
          <w:lang w:val="vi-VN"/>
        </w:rPr>
        <w:t>%</w:t>
      </w:r>
      <w:r>
        <w:rPr>
          <w:sz w:val="28"/>
          <w:szCs w:val="28"/>
        </w:rPr>
        <w:t xml:space="preserve"> trở lên công đoàn doanh nghiệp ngoài khu vực nhà nước </w:t>
      </w:r>
      <w:r>
        <w:rPr>
          <w:sz w:val="28"/>
          <w:szCs w:val="28"/>
          <w:lang w:val="vi-VN"/>
        </w:rPr>
        <w:t xml:space="preserve">thành lập </w:t>
      </w:r>
      <w:r w:rsidR="00E0121C">
        <w:rPr>
          <w:sz w:val="28"/>
          <w:szCs w:val="28"/>
        </w:rPr>
        <w:t>b</w:t>
      </w:r>
      <w:r>
        <w:rPr>
          <w:sz w:val="28"/>
          <w:szCs w:val="28"/>
          <w:lang w:val="vi-VN"/>
        </w:rPr>
        <w:t xml:space="preserve">an </w:t>
      </w:r>
      <w:r w:rsidR="00E0121C">
        <w:rPr>
          <w:sz w:val="28"/>
          <w:szCs w:val="28"/>
        </w:rPr>
        <w:t>n</w:t>
      </w:r>
      <w:r>
        <w:rPr>
          <w:sz w:val="28"/>
          <w:szCs w:val="28"/>
          <w:lang w:val="vi-VN"/>
        </w:rPr>
        <w:t>ữ công</w:t>
      </w:r>
      <w:r>
        <w:rPr>
          <w:sz w:val="28"/>
          <w:szCs w:val="28"/>
        </w:rPr>
        <w:t xml:space="preserve"> quần chúng</w:t>
      </w:r>
      <w:r>
        <w:rPr>
          <w:sz w:val="28"/>
          <w:szCs w:val="28"/>
          <w:lang w:val="vi-VN"/>
        </w:rPr>
        <w:t xml:space="preserve"> theo </w:t>
      </w:r>
      <w:r>
        <w:rPr>
          <w:sz w:val="28"/>
          <w:szCs w:val="28"/>
        </w:rPr>
        <w:t xml:space="preserve">đúng </w:t>
      </w:r>
      <w:r>
        <w:rPr>
          <w:sz w:val="28"/>
          <w:szCs w:val="28"/>
          <w:lang w:val="vi-VN"/>
        </w:rPr>
        <w:t xml:space="preserve">qui định của Điều lệ </w:t>
      </w:r>
      <w:r>
        <w:rPr>
          <w:sz w:val="28"/>
          <w:szCs w:val="28"/>
        </w:rPr>
        <w:t xml:space="preserve">Công đoàn Việt Nam. </w:t>
      </w:r>
    </w:p>
    <w:p w:rsidR="0016793F" w:rsidRDefault="0016793F" w:rsidP="0016793F">
      <w:pPr>
        <w:spacing w:after="120" w:line="240" w:lineRule="auto"/>
        <w:ind w:firstLine="720"/>
        <w:jc w:val="both"/>
        <w:rPr>
          <w:sz w:val="28"/>
          <w:szCs w:val="28"/>
        </w:rPr>
      </w:pPr>
      <w:r>
        <w:rPr>
          <w:sz w:val="28"/>
          <w:szCs w:val="28"/>
        </w:rPr>
        <w:t>- Phấn đấu từ nay đến cuối nhiệm kỳ 2018-2023 có 100% cán bộ chủ chốt công đoàn và trưởng ban nữ công công đoàn doanh nghiệp ngoài khu vực nhà nước được bồi dưỡng, tập huấn về nghiệp vụ công tác nữ công.</w:t>
      </w:r>
    </w:p>
    <w:p w:rsidR="0016793F" w:rsidRDefault="0016793F" w:rsidP="0016793F">
      <w:pPr>
        <w:spacing w:after="120" w:line="240" w:lineRule="auto"/>
        <w:ind w:firstLine="720"/>
        <w:jc w:val="both"/>
        <w:rPr>
          <w:sz w:val="28"/>
          <w:szCs w:val="28"/>
        </w:rPr>
      </w:pPr>
      <w:r>
        <w:rPr>
          <w:sz w:val="28"/>
          <w:szCs w:val="28"/>
        </w:rPr>
        <w:t xml:space="preserve">- Hàng năm, mỗi ban nữ công quần chúng doanh nghiệp ngoài khu vực nhà nước đăng ký với ban chấp hành công đoàn cùng cấp tổ chức ít nhất 01 hoạt động tuyên truyền về chính sách, pháp luật cho lao động nữ và thực hiện ít nhất 01 hoạt </w:t>
      </w:r>
      <w:r>
        <w:rPr>
          <w:spacing w:val="-4"/>
          <w:sz w:val="28"/>
          <w:szCs w:val="28"/>
        </w:rPr>
        <w:t>động chăm lo, bảo vệ quyền của nữ công nhân lao động, đoàn viên công đoàn tại đơn vị.</w:t>
      </w:r>
    </w:p>
    <w:p w:rsidR="0016793F" w:rsidRDefault="0016793F" w:rsidP="0016793F">
      <w:pPr>
        <w:spacing w:after="0" w:line="240" w:lineRule="auto"/>
        <w:ind w:firstLine="720"/>
        <w:jc w:val="both"/>
        <w:rPr>
          <w:b/>
          <w:sz w:val="28"/>
          <w:szCs w:val="28"/>
        </w:rPr>
      </w:pPr>
    </w:p>
    <w:p w:rsidR="0016793F" w:rsidRDefault="0016793F" w:rsidP="0016793F">
      <w:pPr>
        <w:spacing w:after="0" w:line="240" w:lineRule="auto"/>
        <w:ind w:firstLine="720"/>
        <w:jc w:val="both"/>
        <w:rPr>
          <w:b/>
          <w:sz w:val="28"/>
          <w:szCs w:val="28"/>
        </w:rPr>
      </w:pPr>
      <w:r>
        <w:rPr>
          <w:b/>
          <w:sz w:val="28"/>
          <w:szCs w:val="28"/>
        </w:rPr>
        <w:t>II. NHIỆM VỤ, GIẢI PHÁP</w:t>
      </w:r>
    </w:p>
    <w:p w:rsidR="0016793F" w:rsidRDefault="0016793F" w:rsidP="0016793F">
      <w:pPr>
        <w:spacing w:after="120" w:line="240" w:lineRule="auto"/>
        <w:ind w:firstLine="720"/>
        <w:jc w:val="both"/>
        <w:rPr>
          <w:b/>
          <w:sz w:val="28"/>
          <w:szCs w:val="28"/>
        </w:rPr>
      </w:pPr>
      <w:bookmarkStart w:id="3" w:name="bookmark6"/>
      <w:r>
        <w:rPr>
          <w:b/>
          <w:sz w:val="28"/>
          <w:szCs w:val="28"/>
        </w:rPr>
        <w:t>1. Nâng cao nhận thức, trách nhiệm của ban chấp hành công đoàn doanh nghiệp ngoài khu vực nhà nước, nhất là người đứng đầu trong chỉ đạo hoạt động của ban nữ công quần chúng</w:t>
      </w:r>
    </w:p>
    <w:p w:rsidR="0016793F" w:rsidRDefault="0016793F" w:rsidP="0016793F">
      <w:pPr>
        <w:spacing w:after="120" w:line="240" w:lineRule="auto"/>
        <w:ind w:firstLine="720"/>
        <w:jc w:val="both"/>
        <w:rPr>
          <w:sz w:val="28"/>
          <w:szCs w:val="28"/>
        </w:rPr>
      </w:pPr>
      <w:r>
        <w:rPr>
          <w:sz w:val="28"/>
          <w:szCs w:val="28"/>
        </w:rPr>
        <w:t xml:space="preserve">- Trong các kỳ họp ban chấp hành công đoàn doanh nghiệp ngoài khu vực nhà nước hoặc khi giải quyết những vấn đề liên quan đến quyền lợi của nữ công nhân lao động, đoàn viên công đoàn phải mời đại diện của </w:t>
      </w:r>
      <w:r w:rsidR="00E0121C">
        <w:rPr>
          <w:sz w:val="28"/>
          <w:szCs w:val="28"/>
        </w:rPr>
        <w:t>b</w:t>
      </w:r>
      <w:r>
        <w:rPr>
          <w:sz w:val="28"/>
          <w:szCs w:val="28"/>
        </w:rPr>
        <w:t xml:space="preserve">an </w:t>
      </w:r>
      <w:r w:rsidR="00E0121C">
        <w:rPr>
          <w:sz w:val="28"/>
          <w:szCs w:val="28"/>
        </w:rPr>
        <w:t>n</w:t>
      </w:r>
      <w:r>
        <w:rPr>
          <w:sz w:val="28"/>
          <w:szCs w:val="28"/>
        </w:rPr>
        <w:t>ữ công quần chúng tham gia (trường hợp trưởng ban nữ công không là ủy viên ban chấp hành).</w:t>
      </w:r>
    </w:p>
    <w:p w:rsidR="0016793F" w:rsidRDefault="0016793F" w:rsidP="0016793F">
      <w:pPr>
        <w:spacing w:after="120" w:line="240" w:lineRule="auto"/>
        <w:ind w:firstLine="720"/>
        <w:jc w:val="both"/>
        <w:rPr>
          <w:sz w:val="28"/>
          <w:szCs w:val="28"/>
        </w:rPr>
      </w:pPr>
      <w:r>
        <w:rPr>
          <w:sz w:val="28"/>
          <w:szCs w:val="28"/>
        </w:rPr>
        <w:t>- Đưa nội dung chương trình công tác nữ công vào Nghị quyết Đại hội và chương trình công tác hàng năm của ban chấp hành công đoàn doanh nghiệp ngoài khu vực nhà nước.</w:t>
      </w:r>
    </w:p>
    <w:p w:rsidR="0016793F" w:rsidRDefault="0016793F" w:rsidP="0016793F">
      <w:pPr>
        <w:spacing w:after="120" w:line="240" w:lineRule="auto"/>
        <w:ind w:firstLine="720"/>
        <w:jc w:val="both"/>
        <w:rPr>
          <w:sz w:val="28"/>
          <w:szCs w:val="28"/>
        </w:rPr>
      </w:pPr>
      <w:r>
        <w:rPr>
          <w:i/>
          <w:sz w:val="28"/>
          <w:szCs w:val="28"/>
        </w:rPr>
        <w:t xml:space="preserve"> </w:t>
      </w:r>
      <w:r>
        <w:rPr>
          <w:sz w:val="28"/>
          <w:szCs w:val="28"/>
        </w:rPr>
        <w:t xml:space="preserve">- Công đoàn doanh nghiệp ngoài khu vực nhà nước bố trí kinh phí hàng năm cho các hoạt động của ban nữ công quần chúng theo quy định của Tổng Liên đoàn và công đoàn cấp trên trực tiếp, đồng thời huy động thêm các nguồn kinh phí khác phù hợp với điều kiện, khả năng của đơn vị, hỗ trợ cho hoạt động nữ công. </w:t>
      </w:r>
    </w:p>
    <w:p w:rsidR="0016793F" w:rsidRDefault="0016793F" w:rsidP="0016793F">
      <w:pPr>
        <w:spacing w:after="120" w:line="240" w:lineRule="auto"/>
        <w:ind w:firstLine="720"/>
        <w:jc w:val="both"/>
        <w:rPr>
          <w:sz w:val="28"/>
          <w:szCs w:val="28"/>
        </w:rPr>
      </w:pPr>
      <w:r>
        <w:rPr>
          <w:sz w:val="28"/>
          <w:szCs w:val="28"/>
        </w:rPr>
        <w:t>- Hàng năm, công đoàn doanh nghiệp ngoài khu vực nhà nước tạo điều kiện cho cán bộ chủ chốt công đoàn, trưởng ban nữ công công đoàn cơ sở và các ủy viên ban nữ công quần chúng tham dự các cuộc tập huấn, đào tạo, bồi dưỡng về nghiệp vụ, kỹ năng công tác nữ công.</w:t>
      </w:r>
    </w:p>
    <w:p w:rsidR="0016793F" w:rsidRDefault="0016793F" w:rsidP="0016793F">
      <w:pPr>
        <w:spacing w:after="120" w:line="240" w:lineRule="auto"/>
        <w:ind w:firstLine="720"/>
        <w:jc w:val="both"/>
        <w:rPr>
          <w:b/>
          <w:sz w:val="28"/>
          <w:szCs w:val="28"/>
        </w:rPr>
      </w:pPr>
      <w:r>
        <w:rPr>
          <w:b/>
          <w:sz w:val="28"/>
          <w:szCs w:val="28"/>
        </w:rPr>
        <w:t>2. Thành lập, kiện toàn ban nữ công quần chúng doanh nghiệp ngoài khu vực nhà nước</w:t>
      </w:r>
    </w:p>
    <w:p w:rsidR="0016793F" w:rsidRDefault="006D294F" w:rsidP="0016793F">
      <w:pPr>
        <w:spacing w:after="120" w:line="240" w:lineRule="auto"/>
        <w:ind w:firstLine="720"/>
        <w:jc w:val="both"/>
        <w:rPr>
          <w:spacing w:val="-4"/>
          <w:sz w:val="28"/>
          <w:szCs w:val="28"/>
        </w:rPr>
      </w:pPr>
      <w:r>
        <w:rPr>
          <w:spacing w:val="-4"/>
          <w:sz w:val="28"/>
          <w:szCs w:val="28"/>
        </w:rPr>
        <w:t xml:space="preserve"> - Các công đoàn cấp trên trực tiếp cơ sở</w:t>
      </w:r>
      <w:r w:rsidR="0016793F">
        <w:rPr>
          <w:spacing w:val="-4"/>
          <w:sz w:val="28"/>
          <w:szCs w:val="28"/>
        </w:rPr>
        <w:t xml:space="preserve"> tiến hành rà soát, thống kê tình hình tổ chức, hoạt động của ban nữ công quần chúng doanh nghiệp ngoài khu vực nhà nước để xây dựng kế hoạch cụ thể, chỉ đạo thực hiện mục tiêu, chỉ tiêu Nghị quyết</w:t>
      </w:r>
      <w:r>
        <w:rPr>
          <w:spacing w:val="-4"/>
          <w:sz w:val="28"/>
          <w:szCs w:val="28"/>
        </w:rPr>
        <w:t xml:space="preserve"> đã đề ra</w:t>
      </w:r>
      <w:r w:rsidR="0016793F">
        <w:rPr>
          <w:spacing w:val="-4"/>
          <w:sz w:val="28"/>
          <w:szCs w:val="28"/>
        </w:rPr>
        <w:t>.</w:t>
      </w:r>
    </w:p>
    <w:p w:rsidR="0016793F" w:rsidRDefault="0016793F" w:rsidP="0016793F">
      <w:pPr>
        <w:spacing w:after="120" w:line="240" w:lineRule="auto"/>
        <w:ind w:firstLine="720"/>
        <w:jc w:val="both"/>
        <w:rPr>
          <w:b/>
          <w:sz w:val="28"/>
          <w:szCs w:val="28"/>
        </w:rPr>
      </w:pPr>
      <w:r>
        <w:rPr>
          <w:sz w:val="28"/>
          <w:szCs w:val="28"/>
        </w:rPr>
        <w:t>- Công đoàn doanh nghiệp ngoài khu vực nhà nước trước mỗi kỳ đại hội, cần lựa chọn nữ công nhân lao động có năng lực, tâm huyết, uy tín để cơ cấu vào ban chấp hành công đoàn, ban nữ công quần chúng. Ngay sau đại hội, chỉ định và ra quyết định thành lập, chỉ đạo hoạt động ban nữ công quần chúng theo đúng quy định của Điều lệ Công đoàn Việt Nam.</w:t>
      </w:r>
      <w:r>
        <w:rPr>
          <w:b/>
          <w:sz w:val="28"/>
          <w:szCs w:val="28"/>
        </w:rPr>
        <w:t xml:space="preserve"> </w:t>
      </w:r>
      <w:r>
        <w:rPr>
          <w:sz w:val="28"/>
          <w:szCs w:val="28"/>
        </w:rPr>
        <w:t xml:space="preserve">Kịp thời kiện toàn ban nữ công quần chúng khi có thay đổi về nhân sự. </w:t>
      </w:r>
    </w:p>
    <w:p w:rsidR="0016793F" w:rsidRDefault="0016793F" w:rsidP="0016793F">
      <w:pPr>
        <w:spacing w:after="120" w:line="240" w:lineRule="auto"/>
        <w:ind w:firstLine="720"/>
        <w:jc w:val="both"/>
        <w:rPr>
          <w:b/>
          <w:sz w:val="28"/>
          <w:szCs w:val="28"/>
        </w:rPr>
      </w:pPr>
      <w:r>
        <w:rPr>
          <w:b/>
          <w:sz w:val="28"/>
          <w:szCs w:val="28"/>
        </w:rPr>
        <w:t>3. Nâng cao trách nhiệm tham mưu, tổ chức hoạt động của ban nữ công quần chúng doanh nghiệp ngoài khu vực nhà nước</w:t>
      </w:r>
      <w:r>
        <w:rPr>
          <w:sz w:val="28"/>
          <w:szCs w:val="28"/>
        </w:rPr>
        <w:t xml:space="preserve"> </w:t>
      </w:r>
    </w:p>
    <w:p w:rsidR="0016793F" w:rsidRDefault="0016793F" w:rsidP="0016793F">
      <w:pPr>
        <w:spacing w:after="120" w:line="240" w:lineRule="auto"/>
        <w:ind w:firstLine="720"/>
        <w:jc w:val="both"/>
        <w:rPr>
          <w:sz w:val="28"/>
          <w:szCs w:val="28"/>
        </w:rPr>
      </w:pPr>
      <w:r>
        <w:rPr>
          <w:sz w:val="28"/>
          <w:szCs w:val="28"/>
        </w:rPr>
        <w:t>- Ban nữ công quần chúng doanh nghiệp ngoài khu vực nhà nước chịu sự chỉ đạo trực tiếp, toàn diện của ban chấp hành công đoàn cùng cấp; có trách nhiệm tham mưu xây dựng và thực hiện chính sách pháp luật liên quan đến lao động nữ.</w:t>
      </w:r>
    </w:p>
    <w:p w:rsidR="0016793F" w:rsidRDefault="0016793F" w:rsidP="0016793F">
      <w:pPr>
        <w:spacing w:after="120" w:line="240" w:lineRule="auto"/>
        <w:ind w:firstLine="720"/>
        <w:jc w:val="both"/>
        <w:rPr>
          <w:bCs/>
          <w:sz w:val="28"/>
          <w:szCs w:val="28"/>
          <w:lang w:val="pt-BR"/>
        </w:rPr>
      </w:pPr>
      <w:r>
        <w:rPr>
          <w:bCs/>
          <w:sz w:val="28"/>
          <w:szCs w:val="28"/>
          <w:lang w:val="pt-BR"/>
        </w:rPr>
        <w:lastRenderedPageBreak/>
        <w:t xml:space="preserve">- Phát huy vai trò của ban nữ công quần chúng </w:t>
      </w:r>
      <w:r>
        <w:rPr>
          <w:bCs/>
          <w:sz w:val="28"/>
          <w:szCs w:val="28"/>
        </w:rPr>
        <w:t>doanh nghiệp</w:t>
      </w:r>
      <w:r>
        <w:rPr>
          <w:bCs/>
          <w:sz w:val="28"/>
          <w:szCs w:val="28"/>
          <w:lang w:val="pt-BR"/>
        </w:rPr>
        <w:t xml:space="preserve"> ngoài khu vực nhà nước và </w:t>
      </w:r>
      <w:r>
        <w:rPr>
          <w:bCs/>
          <w:sz w:val="28"/>
          <w:szCs w:val="28"/>
          <w:lang w:val="nl-NL"/>
        </w:rPr>
        <w:t>khuyến khích ý tưởng của đoàn viên công đoàn</w:t>
      </w:r>
      <w:r>
        <w:rPr>
          <w:bCs/>
          <w:sz w:val="28"/>
          <w:szCs w:val="28"/>
          <w:lang w:val="pt-BR"/>
        </w:rPr>
        <w:t xml:space="preserve"> trong việc chủ động </w:t>
      </w:r>
      <w:r>
        <w:rPr>
          <w:bCs/>
          <w:sz w:val="28"/>
          <w:szCs w:val="28"/>
        </w:rPr>
        <w:t>đề xuất nội dung có lợi hơn cho lao động nữ trong quá trình thương lượng, ký kết thỏa ước lao động tập thể;</w:t>
      </w:r>
      <w:r>
        <w:rPr>
          <w:sz w:val="28"/>
          <w:szCs w:val="28"/>
        </w:rPr>
        <w:t xml:space="preserve"> tham gia kiểm tra, giám sát việc thực hiện chính sách, pháp luật đối với lao động nữ. </w:t>
      </w:r>
    </w:p>
    <w:p w:rsidR="0016793F" w:rsidRDefault="0016793F" w:rsidP="0016793F">
      <w:pPr>
        <w:spacing w:after="120" w:line="240" w:lineRule="auto"/>
        <w:ind w:firstLine="720"/>
        <w:jc w:val="both"/>
        <w:rPr>
          <w:sz w:val="28"/>
          <w:szCs w:val="28"/>
        </w:rPr>
      </w:pPr>
      <w:r>
        <w:rPr>
          <w:sz w:val="28"/>
          <w:szCs w:val="28"/>
        </w:rPr>
        <w:t>- Kịp thời nắm bắt tâm tư nguyện vọng của nữ công nhân lao động và tham mưu cho ban chấp hành công đoàn giải quyết những khó khăn, vướng mắc; Tuyên truyền, vận động, hỗ trợ nữ công nhân lao động, đoàn viên công đoàn về các vấn đề liên quan trực tiếp đến đời sống, việc làm, nhà trẻ, mẫu giáo, chăm sóc sức khỏe, xây dựng gia đình no ấm, tiến bộ, hạnh phúc.</w:t>
      </w:r>
    </w:p>
    <w:p w:rsidR="0016793F" w:rsidRDefault="0016793F" w:rsidP="0016793F">
      <w:pPr>
        <w:spacing w:after="120" w:line="240" w:lineRule="auto"/>
        <w:ind w:firstLine="720"/>
        <w:jc w:val="both"/>
        <w:rPr>
          <w:sz w:val="28"/>
          <w:szCs w:val="28"/>
        </w:rPr>
      </w:pPr>
      <w:r>
        <w:rPr>
          <w:sz w:val="28"/>
          <w:szCs w:val="28"/>
        </w:rPr>
        <w:t>- Vận động chủ doanh nghiệp quan tâm thực hiện tốt chế độ chính sách đối với lao động nữ.</w:t>
      </w:r>
    </w:p>
    <w:p w:rsidR="0016793F" w:rsidRDefault="0016793F" w:rsidP="0016793F">
      <w:pPr>
        <w:spacing w:after="120" w:line="240" w:lineRule="auto"/>
        <w:ind w:firstLine="720"/>
        <w:jc w:val="both"/>
        <w:rPr>
          <w:sz w:val="28"/>
          <w:szCs w:val="28"/>
        </w:rPr>
      </w:pPr>
      <w:r>
        <w:rPr>
          <w:sz w:val="28"/>
          <w:szCs w:val="28"/>
        </w:rPr>
        <w:t>- Phát triển các phong trào thi đua phù hợp với nữ công nhân lao động, đoàn viên công đoàn trong doanh nghiệp ngoài khu vực nhà nướ</w:t>
      </w:r>
      <w:r w:rsidR="006D294F">
        <w:rPr>
          <w:sz w:val="28"/>
          <w:szCs w:val="28"/>
        </w:rPr>
        <w:t>c</w:t>
      </w:r>
      <w:r>
        <w:rPr>
          <w:sz w:val="28"/>
          <w:szCs w:val="28"/>
        </w:rPr>
        <w:t>; hàng năm tổ chức biểu dương, khen thưởng cá nhân xuất sắc trong phong trào thi đua.</w:t>
      </w:r>
    </w:p>
    <w:p w:rsidR="0016793F" w:rsidRDefault="0016793F" w:rsidP="0016793F">
      <w:pPr>
        <w:spacing w:after="120" w:line="240" w:lineRule="auto"/>
        <w:ind w:firstLine="720"/>
        <w:jc w:val="both"/>
        <w:rPr>
          <w:sz w:val="28"/>
          <w:szCs w:val="28"/>
        </w:rPr>
      </w:pPr>
      <w:r>
        <w:rPr>
          <w:sz w:val="28"/>
          <w:szCs w:val="28"/>
        </w:rPr>
        <w:t>- Quan tâm hỗ trợ nữ công nhân lao động, đoàn viên công đoàn đơn thân, có hoàn cảnh khó khăn giao lưu, tìm hiểu bạn khác giới, xây dựng gia đình công nhân lao động no ấm, tiến bộ, hạnh phúc.</w:t>
      </w:r>
    </w:p>
    <w:p w:rsidR="0016793F" w:rsidRDefault="0016793F" w:rsidP="0016793F">
      <w:pPr>
        <w:pStyle w:val="NormalWeb"/>
        <w:shd w:val="clear" w:color="auto" w:fill="FFFFFF"/>
        <w:spacing w:before="0" w:beforeAutospacing="0" w:after="0" w:afterAutospacing="0"/>
        <w:ind w:firstLine="720"/>
        <w:jc w:val="both"/>
        <w:rPr>
          <w:b/>
          <w:bCs/>
          <w:color w:val="000000"/>
          <w:sz w:val="28"/>
          <w:szCs w:val="28"/>
        </w:rPr>
      </w:pPr>
    </w:p>
    <w:p w:rsidR="0016793F" w:rsidRDefault="0016793F" w:rsidP="0016793F">
      <w:pPr>
        <w:pStyle w:val="NormalWeb"/>
        <w:shd w:val="clear" w:color="auto" w:fill="FFFFFF"/>
        <w:spacing w:before="0" w:beforeAutospacing="0" w:after="0" w:afterAutospacing="0"/>
        <w:ind w:firstLine="720"/>
        <w:jc w:val="both"/>
        <w:rPr>
          <w:color w:val="000000"/>
          <w:sz w:val="28"/>
          <w:szCs w:val="28"/>
        </w:rPr>
      </w:pPr>
      <w:r>
        <w:rPr>
          <w:b/>
          <w:bCs/>
          <w:color w:val="000000"/>
          <w:sz w:val="28"/>
          <w:szCs w:val="28"/>
          <w:lang w:val="vi-VN"/>
        </w:rPr>
        <w:t>I</w:t>
      </w:r>
      <w:r>
        <w:rPr>
          <w:b/>
          <w:bCs/>
          <w:color w:val="000000"/>
          <w:sz w:val="28"/>
          <w:szCs w:val="28"/>
        </w:rPr>
        <w:t>II.</w:t>
      </w:r>
      <w:r>
        <w:rPr>
          <w:b/>
          <w:bCs/>
          <w:color w:val="000000"/>
          <w:sz w:val="28"/>
          <w:szCs w:val="28"/>
          <w:lang w:val="vi-VN"/>
        </w:rPr>
        <w:t xml:space="preserve"> TỔ CHỨC THỰC HIỆN</w:t>
      </w:r>
      <w:bookmarkEnd w:id="3"/>
    </w:p>
    <w:p w:rsidR="0016793F" w:rsidRDefault="0016793F" w:rsidP="0016793F">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1. Công đoàn Xây dựng Việt Nam</w:t>
      </w:r>
    </w:p>
    <w:p w:rsidR="0016793F" w:rsidRPr="00833FBE" w:rsidRDefault="0016793F" w:rsidP="0016793F">
      <w:pPr>
        <w:pStyle w:val="NormalWeb"/>
        <w:shd w:val="clear" w:color="auto" w:fill="FFFFFF"/>
        <w:spacing w:before="120" w:beforeAutospacing="0" w:after="0" w:afterAutospacing="0"/>
        <w:ind w:firstLine="720"/>
        <w:jc w:val="both"/>
        <w:rPr>
          <w:sz w:val="28"/>
          <w:szCs w:val="28"/>
        </w:rPr>
      </w:pPr>
      <w:r w:rsidRPr="00833FBE">
        <w:rPr>
          <w:sz w:val="28"/>
          <w:szCs w:val="28"/>
        </w:rPr>
        <w:t>- Xây dựng kế hoạch thực hiện Nghị quyết 12b/NQ-BCH và tổ chức triển khai đến các cấp công đoàn trực thuộc.</w:t>
      </w:r>
    </w:p>
    <w:p w:rsidR="0016793F" w:rsidRDefault="00833FBE" w:rsidP="00833FBE">
      <w:pPr>
        <w:spacing w:after="120" w:line="240" w:lineRule="auto"/>
        <w:ind w:firstLine="720"/>
        <w:jc w:val="both"/>
        <w:rPr>
          <w:sz w:val="28"/>
          <w:szCs w:val="28"/>
        </w:rPr>
      </w:pPr>
      <w:r w:rsidRPr="00833FBE">
        <w:rPr>
          <w:sz w:val="28"/>
          <w:szCs w:val="28"/>
        </w:rPr>
        <w:t>- Giao cho Ban Nữ công CĐXDVN chịu trách nhiệm giúp Ban Chấp hành CĐXDVN theo dõi, chỉ đạo, triển khai việc thực hiện Nghị quyết; định kỳ tổ chức sơ</w:t>
      </w:r>
      <w:r w:rsidR="000D1E44">
        <w:rPr>
          <w:sz w:val="28"/>
          <w:szCs w:val="28"/>
        </w:rPr>
        <w:t xml:space="preserve"> kết</w:t>
      </w:r>
      <w:r w:rsidRPr="00833FBE">
        <w:rPr>
          <w:sz w:val="28"/>
          <w:szCs w:val="28"/>
        </w:rPr>
        <w:t xml:space="preserve">, tổng kết đánh giá kết quả thực hiện Nghị quyết theo qui định và báo cáo kết quả </w:t>
      </w:r>
      <w:r w:rsidR="0016793F" w:rsidRPr="00833FBE">
        <w:rPr>
          <w:sz w:val="28"/>
          <w:szCs w:val="28"/>
        </w:rPr>
        <w:t>theo sự chỉ đạo của Tổng Liên đoàn Lao động Việt Nam.</w:t>
      </w:r>
    </w:p>
    <w:p w:rsidR="0016793F" w:rsidRPr="000D1E44" w:rsidRDefault="0016793F" w:rsidP="0016793F">
      <w:pPr>
        <w:pStyle w:val="NormalWeb"/>
        <w:shd w:val="clear" w:color="auto" w:fill="FFFFFF"/>
        <w:spacing w:before="120" w:beforeAutospacing="0" w:after="0" w:afterAutospacing="0"/>
        <w:ind w:firstLine="720"/>
        <w:jc w:val="both"/>
        <w:rPr>
          <w:b/>
          <w:sz w:val="28"/>
          <w:szCs w:val="28"/>
        </w:rPr>
      </w:pPr>
      <w:r w:rsidRPr="000D1E44">
        <w:rPr>
          <w:b/>
          <w:sz w:val="28"/>
          <w:szCs w:val="28"/>
        </w:rPr>
        <w:t>2. Công đoàn</w:t>
      </w:r>
      <w:r w:rsidR="000D1E44">
        <w:rPr>
          <w:b/>
          <w:sz w:val="28"/>
          <w:szCs w:val="28"/>
        </w:rPr>
        <w:t xml:space="preserve"> cấp trên trực tiếp cơ sở</w:t>
      </w:r>
    </w:p>
    <w:p w:rsidR="000D1E44" w:rsidRDefault="0016793F" w:rsidP="0016793F">
      <w:pPr>
        <w:pStyle w:val="NormalWeb"/>
        <w:shd w:val="clear" w:color="auto" w:fill="FFFFFF"/>
        <w:spacing w:before="120" w:beforeAutospacing="0" w:after="0" w:afterAutospacing="0"/>
        <w:ind w:firstLine="720"/>
        <w:jc w:val="both"/>
        <w:rPr>
          <w:color w:val="FF0000"/>
          <w:sz w:val="28"/>
          <w:szCs w:val="28"/>
        </w:rPr>
      </w:pPr>
      <w:r w:rsidRPr="000D1E44">
        <w:rPr>
          <w:sz w:val="28"/>
          <w:szCs w:val="28"/>
        </w:rPr>
        <w:t>- Căn cứ kế hoạch của Công đoàn Xây dựng Việt Nam và tình hình thực tế của đơn vị, cụ thể hóa thành kế hoạch thực hiện của cấp mình cho phù hợp</w:t>
      </w:r>
      <w:r w:rsidR="000D1E44" w:rsidRPr="000D1E44">
        <w:rPr>
          <w:sz w:val="28"/>
          <w:szCs w:val="28"/>
        </w:rPr>
        <w:t xml:space="preserve">, có chỉ </w:t>
      </w:r>
      <w:r w:rsidR="000D1E44">
        <w:rPr>
          <w:sz w:val="28"/>
          <w:szCs w:val="28"/>
        </w:rPr>
        <w:t xml:space="preserve">tiêu cụ thể từng năm và hướng dẫn công đoàn doanh nghiệp ngoài khu vực nhà nước trong đơn vị tổ chức thực hiện </w:t>
      </w:r>
      <w:r w:rsidR="00471812">
        <w:rPr>
          <w:sz w:val="28"/>
          <w:szCs w:val="28"/>
        </w:rPr>
        <w:t>Nghị quyết</w:t>
      </w:r>
      <w:r w:rsidR="000D1E44">
        <w:rPr>
          <w:sz w:val="28"/>
          <w:szCs w:val="28"/>
        </w:rPr>
        <w:t xml:space="preserve">.  </w:t>
      </w:r>
    </w:p>
    <w:p w:rsidR="0016793F" w:rsidRDefault="0016793F" w:rsidP="0016793F">
      <w:pPr>
        <w:pStyle w:val="NormalWeb"/>
        <w:shd w:val="clear" w:color="auto" w:fill="FFFFFF"/>
        <w:spacing w:before="120" w:beforeAutospacing="0" w:after="0" w:afterAutospacing="0"/>
        <w:ind w:firstLine="720"/>
        <w:jc w:val="both"/>
        <w:rPr>
          <w:sz w:val="28"/>
          <w:szCs w:val="28"/>
        </w:rPr>
      </w:pPr>
      <w:r w:rsidRPr="000D1E44">
        <w:rPr>
          <w:sz w:val="28"/>
          <w:szCs w:val="28"/>
        </w:rPr>
        <w:t>- Định kỳ hàng năm báo cáo kết quả thực hiện Nghị quyết về Công đoàn Xây dựng Việt Nam.</w:t>
      </w:r>
    </w:p>
    <w:p w:rsidR="00094780" w:rsidRPr="000D1E44" w:rsidRDefault="00094780" w:rsidP="0016793F">
      <w:pPr>
        <w:pStyle w:val="NormalWeb"/>
        <w:shd w:val="clear" w:color="auto" w:fill="FFFFFF"/>
        <w:spacing w:before="120" w:beforeAutospacing="0" w:after="0" w:afterAutospacing="0"/>
        <w:ind w:firstLine="720"/>
        <w:jc w:val="both"/>
        <w:rPr>
          <w:sz w:val="28"/>
          <w:szCs w:val="28"/>
        </w:rPr>
      </w:pPr>
    </w:p>
    <w:p w:rsidR="0016793F" w:rsidRPr="000D1E44" w:rsidRDefault="0016793F" w:rsidP="0016793F">
      <w:pPr>
        <w:pStyle w:val="NormalWeb"/>
        <w:shd w:val="clear" w:color="auto" w:fill="FFFFFF"/>
        <w:spacing w:before="120" w:beforeAutospacing="0" w:after="0" w:afterAutospacing="0"/>
        <w:ind w:firstLine="720"/>
        <w:jc w:val="both"/>
        <w:rPr>
          <w:b/>
          <w:sz w:val="28"/>
          <w:szCs w:val="28"/>
        </w:rPr>
      </w:pPr>
      <w:r w:rsidRPr="000D1E44">
        <w:rPr>
          <w:b/>
          <w:sz w:val="28"/>
          <w:szCs w:val="28"/>
        </w:rPr>
        <w:lastRenderedPageBreak/>
        <w:t xml:space="preserve">3. Công đoàn cơ sở </w:t>
      </w:r>
      <w:r w:rsidR="000D1E44" w:rsidRPr="000D1E44">
        <w:rPr>
          <w:b/>
          <w:sz w:val="28"/>
          <w:szCs w:val="28"/>
        </w:rPr>
        <w:t>doanh nghiệp ngoài khu vực nhà nước</w:t>
      </w:r>
    </w:p>
    <w:p w:rsidR="000D1E44" w:rsidRPr="000D1E44" w:rsidRDefault="000D1E44" w:rsidP="000D1E44">
      <w:pPr>
        <w:spacing w:after="120" w:line="240" w:lineRule="auto"/>
        <w:ind w:firstLine="720"/>
        <w:jc w:val="both"/>
        <w:rPr>
          <w:sz w:val="28"/>
          <w:szCs w:val="28"/>
        </w:rPr>
      </w:pPr>
      <w:r w:rsidRPr="000D1E44">
        <w:rPr>
          <w:sz w:val="28"/>
          <w:szCs w:val="28"/>
        </w:rPr>
        <w:t xml:space="preserve">- Hàng năm, trên cơ sở hướng dẫn của công đoàn cấp trên, ban chấp hành công đoàn doanh nghiệp ngoài khu vực nhà nước tổ chức thực hiện gắn với thực hiện tốt các nhiệm vụ, giải pháp chủ yếu đã nêu tại phần II của Kế hoạch này. </w:t>
      </w:r>
    </w:p>
    <w:p w:rsidR="0016793F" w:rsidRPr="000D1E44" w:rsidRDefault="0016793F" w:rsidP="0016793F">
      <w:pPr>
        <w:pStyle w:val="NormalWeb"/>
        <w:shd w:val="clear" w:color="auto" w:fill="FFFFFF"/>
        <w:spacing w:before="120" w:beforeAutospacing="0" w:after="0" w:afterAutospacing="0"/>
        <w:ind w:firstLine="720"/>
        <w:jc w:val="both"/>
        <w:rPr>
          <w:sz w:val="28"/>
          <w:szCs w:val="28"/>
        </w:rPr>
      </w:pPr>
      <w:r w:rsidRPr="000D1E44">
        <w:rPr>
          <w:sz w:val="28"/>
          <w:szCs w:val="28"/>
        </w:rPr>
        <w:t>- Định kỳ hàng năm báo cáo kết quả thực hiện Nghị quyết về công đoàn cấp trên quản lý trực tiếp.</w:t>
      </w:r>
    </w:p>
    <w:p w:rsidR="0016793F" w:rsidRPr="000D1E44" w:rsidRDefault="0016793F" w:rsidP="0016793F">
      <w:pPr>
        <w:pStyle w:val="NormalWeb"/>
        <w:shd w:val="clear" w:color="auto" w:fill="FFFFFF"/>
        <w:spacing w:before="0" w:beforeAutospacing="0" w:after="0" w:afterAutospacing="0"/>
        <w:ind w:firstLine="720"/>
        <w:jc w:val="both"/>
        <w:rPr>
          <w:sz w:val="28"/>
          <w:szCs w:val="28"/>
        </w:rPr>
      </w:pPr>
    </w:p>
    <w:p w:rsidR="0016793F" w:rsidRDefault="0016793F" w:rsidP="0016793F">
      <w:pPr>
        <w:pStyle w:val="NormalWeb"/>
        <w:shd w:val="clear" w:color="auto" w:fill="FFFFFF"/>
        <w:spacing w:before="0" w:beforeAutospacing="0" w:after="0" w:afterAutospacing="0"/>
        <w:ind w:firstLine="720"/>
        <w:jc w:val="both"/>
        <w:rPr>
          <w:sz w:val="28"/>
          <w:szCs w:val="28"/>
        </w:rPr>
      </w:pPr>
      <w:r w:rsidRPr="000D1E44">
        <w:rPr>
          <w:sz w:val="28"/>
          <w:szCs w:val="28"/>
        </w:rPr>
        <w:t xml:space="preserve"> Trong quá trình thực hiện, nếu có khó khăn, vướng mắc, đề nghị phản ánh về Công đoàn Xây dựng Việt Nam (qua Ban </w:t>
      </w:r>
      <w:r w:rsidR="000D1E44" w:rsidRPr="000D1E44">
        <w:rPr>
          <w:sz w:val="28"/>
          <w:szCs w:val="28"/>
        </w:rPr>
        <w:t>Nữ công</w:t>
      </w:r>
      <w:r w:rsidRPr="000D1E44">
        <w:rPr>
          <w:sz w:val="28"/>
          <w:szCs w:val="28"/>
        </w:rPr>
        <w:t>) để được hướng dẫn./.</w:t>
      </w:r>
    </w:p>
    <w:p w:rsidR="00094780" w:rsidRPr="000D1E44" w:rsidRDefault="00094780" w:rsidP="0016793F">
      <w:pPr>
        <w:pStyle w:val="NormalWeb"/>
        <w:shd w:val="clear" w:color="auto" w:fill="FFFFFF"/>
        <w:spacing w:before="0" w:beforeAutospacing="0" w:after="0" w:afterAutospacing="0"/>
        <w:ind w:firstLine="720"/>
        <w:jc w:val="both"/>
        <w:rPr>
          <w:sz w:val="28"/>
          <w:szCs w:val="28"/>
        </w:rPr>
      </w:pPr>
    </w:p>
    <w:p w:rsidR="0016793F" w:rsidRPr="000D1E44" w:rsidRDefault="0016793F" w:rsidP="0016793F">
      <w:pPr>
        <w:pStyle w:val="NormalWeb"/>
        <w:shd w:val="clear" w:color="auto" w:fill="FFFFFF"/>
        <w:spacing w:before="120" w:beforeAutospacing="0" w:after="0" w:afterAutospacing="0" w:line="212" w:lineRule="atLeast"/>
        <w:ind w:firstLine="720"/>
        <w:jc w:val="both"/>
        <w:rPr>
          <w:sz w:val="28"/>
          <w:szCs w:val="28"/>
        </w:rPr>
      </w:pPr>
    </w:p>
    <w:tbl>
      <w:tblPr>
        <w:tblW w:w="9180" w:type="dxa"/>
        <w:tblLayout w:type="fixed"/>
        <w:tblLook w:val="04A0" w:firstRow="1" w:lastRow="0" w:firstColumn="1" w:lastColumn="0" w:noHBand="0" w:noVBand="1"/>
      </w:tblPr>
      <w:tblGrid>
        <w:gridCol w:w="4503"/>
        <w:gridCol w:w="4677"/>
      </w:tblGrid>
      <w:tr w:rsidR="0016793F" w:rsidTr="0016793F">
        <w:tc>
          <w:tcPr>
            <w:tcW w:w="4503" w:type="dxa"/>
          </w:tcPr>
          <w:p w:rsidR="0016793F" w:rsidRDefault="0016793F">
            <w:pPr>
              <w:tabs>
                <w:tab w:val="center" w:pos="6840"/>
              </w:tabs>
              <w:spacing w:after="0" w:line="240" w:lineRule="auto"/>
              <w:jc w:val="both"/>
              <w:rPr>
                <w:b/>
                <w:i/>
                <w:color w:val="000000"/>
              </w:rPr>
            </w:pPr>
          </w:p>
          <w:p w:rsidR="0016793F" w:rsidRDefault="0016793F">
            <w:pPr>
              <w:tabs>
                <w:tab w:val="center" w:pos="6840"/>
              </w:tabs>
              <w:spacing w:after="0" w:line="240" w:lineRule="auto"/>
              <w:jc w:val="both"/>
              <w:rPr>
                <w:color w:val="000000"/>
                <w:sz w:val="21"/>
                <w:szCs w:val="21"/>
              </w:rPr>
            </w:pPr>
            <w:r>
              <w:rPr>
                <w:b/>
                <w:i/>
                <w:color w:val="000000"/>
              </w:rPr>
              <w:t>Nơi nhận:</w:t>
            </w:r>
            <w:r>
              <w:rPr>
                <w:b/>
                <w:color w:val="000000"/>
                <w:sz w:val="21"/>
                <w:szCs w:val="21"/>
              </w:rPr>
              <w:tab/>
              <w:t>CHỦ TỊCH</w:t>
            </w:r>
          </w:p>
          <w:p w:rsidR="0016793F" w:rsidRDefault="0016793F">
            <w:pPr>
              <w:tabs>
                <w:tab w:val="center" w:pos="6545"/>
              </w:tabs>
              <w:spacing w:after="0" w:line="240" w:lineRule="auto"/>
              <w:rPr>
                <w:color w:val="000000"/>
                <w:sz w:val="21"/>
                <w:szCs w:val="21"/>
              </w:rPr>
            </w:pPr>
            <w:r>
              <w:rPr>
                <w:color w:val="000000"/>
                <w:sz w:val="21"/>
                <w:szCs w:val="21"/>
              </w:rPr>
              <w:t>- Đoàn Chủ tịch Tổng Liên đoàn (BC);</w:t>
            </w:r>
          </w:p>
          <w:p w:rsidR="0016793F" w:rsidRDefault="0016793F">
            <w:pPr>
              <w:tabs>
                <w:tab w:val="center" w:pos="6545"/>
              </w:tabs>
              <w:spacing w:after="0" w:line="240" w:lineRule="auto"/>
              <w:rPr>
                <w:color w:val="000000"/>
                <w:sz w:val="21"/>
                <w:szCs w:val="21"/>
              </w:rPr>
            </w:pPr>
            <w:r>
              <w:rPr>
                <w:color w:val="000000"/>
                <w:sz w:val="21"/>
                <w:szCs w:val="21"/>
              </w:rPr>
              <w:t>- Ban Nữ công (BC);</w:t>
            </w:r>
          </w:p>
          <w:p w:rsidR="0016793F" w:rsidRDefault="0016793F">
            <w:pPr>
              <w:tabs>
                <w:tab w:val="center" w:pos="6545"/>
              </w:tabs>
              <w:spacing w:after="0" w:line="240" w:lineRule="auto"/>
              <w:rPr>
                <w:color w:val="000000"/>
                <w:sz w:val="21"/>
                <w:szCs w:val="21"/>
              </w:rPr>
            </w:pPr>
            <w:r>
              <w:rPr>
                <w:color w:val="000000"/>
                <w:sz w:val="21"/>
                <w:szCs w:val="21"/>
              </w:rPr>
              <w:t>- Lãnh đạo CĐXDVN;</w:t>
            </w:r>
          </w:p>
          <w:p w:rsidR="0016793F" w:rsidRDefault="0016793F">
            <w:pPr>
              <w:spacing w:after="0" w:line="240" w:lineRule="auto"/>
              <w:jc w:val="both"/>
              <w:rPr>
                <w:color w:val="000000"/>
                <w:sz w:val="21"/>
                <w:szCs w:val="21"/>
              </w:rPr>
            </w:pPr>
            <w:r>
              <w:rPr>
                <w:color w:val="000000"/>
                <w:sz w:val="21"/>
                <w:szCs w:val="21"/>
              </w:rPr>
              <w:t>- Các công đoàn trực thuộc;</w:t>
            </w:r>
          </w:p>
          <w:p w:rsidR="0016793F" w:rsidRDefault="0016793F">
            <w:pPr>
              <w:tabs>
                <w:tab w:val="center" w:pos="6840"/>
              </w:tabs>
              <w:spacing w:after="0" w:line="240" w:lineRule="auto"/>
              <w:jc w:val="both"/>
              <w:rPr>
                <w:color w:val="000000"/>
                <w:sz w:val="21"/>
                <w:szCs w:val="21"/>
              </w:rPr>
            </w:pPr>
            <w:r>
              <w:rPr>
                <w:color w:val="000000"/>
                <w:sz w:val="21"/>
                <w:szCs w:val="21"/>
              </w:rPr>
              <w:t>- Ban Biên tập Website CĐXDVN;</w:t>
            </w:r>
          </w:p>
          <w:p w:rsidR="0016793F" w:rsidRDefault="0016793F">
            <w:pPr>
              <w:tabs>
                <w:tab w:val="center" w:pos="6840"/>
              </w:tabs>
              <w:spacing w:after="0" w:line="240" w:lineRule="auto"/>
              <w:jc w:val="both"/>
              <w:rPr>
                <w:color w:val="000000"/>
                <w:sz w:val="21"/>
                <w:szCs w:val="21"/>
              </w:rPr>
            </w:pPr>
            <w:r>
              <w:rPr>
                <w:color w:val="000000"/>
                <w:sz w:val="21"/>
                <w:szCs w:val="21"/>
              </w:rPr>
              <w:t>- Lưu: Văn thư, CSPL.</w:t>
            </w:r>
          </w:p>
          <w:p w:rsidR="0016793F" w:rsidRDefault="0016793F">
            <w:pPr>
              <w:pStyle w:val="NormalWeb"/>
              <w:spacing w:before="120" w:beforeAutospacing="0" w:after="0" w:afterAutospacing="0" w:line="212" w:lineRule="atLeast"/>
              <w:jc w:val="both"/>
              <w:rPr>
                <w:color w:val="000000"/>
                <w:sz w:val="22"/>
                <w:szCs w:val="22"/>
              </w:rPr>
            </w:pPr>
          </w:p>
        </w:tc>
        <w:tc>
          <w:tcPr>
            <w:tcW w:w="4677" w:type="dxa"/>
          </w:tcPr>
          <w:p w:rsidR="0016793F" w:rsidRDefault="0016793F">
            <w:pPr>
              <w:tabs>
                <w:tab w:val="center" w:pos="6840"/>
              </w:tabs>
              <w:spacing w:after="0" w:line="240" w:lineRule="auto"/>
              <w:jc w:val="center"/>
              <w:rPr>
                <w:b/>
                <w:color w:val="000000"/>
                <w:sz w:val="26"/>
                <w:szCs w:val="32"/>
              </w:rPr>
            </w:pPr>
            <w:r>
              <w:rPr>
                <w:b/>
                <w:color w:val="000000"/>
                <w:sz w:val="28"/>
                <w:szCs w:val="32"/>
              </w:rPr>
              <w:t>TM. BAN THƯỜNG VỤ</w:t>
            </w:r>
          </w:p>
          <w:p w:rsidR="0016793F" w:rsidRDefault="0016793F">
            <w:pPr>
              <w:tabs>
                <w:tab w:val="center" w:pos="6840"/>
              </w:tabs>
              <w:spacing w:after="0" w:line="240" w:lineRule="auto"/>
              <w:jc w:val="center"/>
              <w:rPr>
                <w:b/>
                <w:color w:val="000000"/>
                <w:sz w:val="28"/>
                <w:szCs w:val="28"/>
              </w:rPr>
            </w:pPr>
            <w:r>
              <w:rPr>
                <w:b/>
                <w:color w:val="000000"/>
                <w:sz w:val="28"/>
                <w:szCs w:val="28"/>
              </w:rPr>
              <w:t>PHÓ CHỦ TỊCH</w:t>
            </w:r>
          </w:p>
          <w:p w:rsidR="0016793F" w:rsidRDefault="0016793F">
            <w:pPr>
              <w:tabs>
                <w:tab w:val="center" w:pos="6840"/>
              </w:tabs>
              <w:spacing w:after="0" w:line="240" w:lineRule="auto"/>
              <w:jc w:val="center"/>
              <w:rPr>
                <w:b/>
                <w:color w:val="000000"/>
                <w:sz w:val="28"/>
                <w:szCs w:val="28"/>
              </w:rPr>
            </w:pPr>
          </w:p>
          <w:p w:rsidR="0016793F" w:rsidRDefault="0016793F">
            <w:pPr>
              <w:tabs>
                <w:tab w:val="center" w:pos="6840"/>
              </w:tabs>
              <w:spacing w:after="0" w:line="240" w:lineRule="auto"/>
              <w:jc w:val="center"/>
              <w:rPr>
                <w:i/>
                <w:color w:val="000000"/>
                <w:sz w:val="28"/>
                <w:szCs w:val="28"/>
              </w:rPr>
            </w:pPr>
          </w:p>
          <w:p w:rsidR="0016793F" w:rsidRDefault="0016793F">
            <w:pPr>
              <w:tabs>
                <w:tab w:val="center" w:pos="6840"/>
              </w:tabs>
              <w:spacing w:after="0" w:line="240" w:lineRule="auto"/>
              <w:jc w:val="center"/>
              <w:rPr>
                <w:i/>
                <w:color w:val="000000"/>
                <w:sz w:val="28"/>
                <w:szCs w:val="28"/>
              </w:rPr>
            </w:pPr>
          </w:p>
          <w:p w:rsidR="0016793F" w:rsidRDefault="0016793F">
            <w:pPr>
              <w:tabs>
                <w:tab w:val="center" w:pos="6840"/>
              </w:tabs>
              <w:spacing w:after="0" w:line="240" w:lineRule="auto"/>
              <w:jc w:val="center"/>
              <w:rPr>
                <w:i/>
                <w:color w:val="000000"/>
                <w:sz w:val="28"/>
                <w:szCs w:val="28"/>
              </w:rPr>
            </w:pPr>
          </w:p>
          <w:p w:rsidR="0016793F" w:rsidRDefault="0016793F">
            <w:pPr>
              <w:tabs>
                <w:tab w:val="center" w:pos="6840"/>
              </w:tabs>
              <w:spacing w:after="0" w:line="240" w:lineRule="auto"/>
              <w:jc w:val="center"/>
              <w:rPr>
                <w:i/>
                <w:color w:val="000000"/>
                <w:sz w:val="28"/>
                <w:szCs w:val="28"/>
              </w:rPr>
            </w:pPr>
          </w:p>
          <w:p w:rsidR="0016793F" w:rsidRDefault="0016793F">
            <w:pPr>
              <w:tabs>
                <w:tab w:val="center" w:pos="6840"/>
              </w:tabs>
              <w:spacing w:after="0" w:line="240" w:lineRule="auto"/>
              <w:jc w:val="center"/>
              <w:rPr>
                <w:i/>
                <w:color w:val="000000"/>
                <w:sz w:val="28"/>
                <w:szCs w:val="28"/>
              </w:rPr>
            </w:pPr>
          </w:p>
          <w:p w:rsidR="0016793F" w:rsidRDefault="0016793F">
            <w:pPr>
              <w:tabs>
                <w:tab w:val="center" w:pos="6840"/>
              </w:tabs>
              <w:spacing w:after="0" w:line="240" w:lineRule="auto"/>
              <w:jc w:val="center"/>
              <w:rPr>
                <w:color w:val="000000"/>
                <w:sz w:val="28"/>
                <w:szCs w:val="28"/>
              </w:rPr>
            </w:pPr>
            <w:r>
              <w:rPr>
                <w:b/>
                <w:color w:val="000000"/>
                <w:sz w:val="28"/>
                <w:szCs w:val="28"/>
              </w:rPr>
              <w:t>Phạm Xuân Hải</w:t>
            </w:r>
          </w:p>
        </w:tc>
      </w:tr>
    </w:tbl>
    <w:p w:rsidR="0016793F" w:rsidRDefault="0016793F" w:rsidP="0016793F">
      <w:pPr>
        <w:pStyle w:val="NormalWeb"/>
        <w:shd w:val="clear" w:color="auto" w:fill="FFFFFF"/>
        <w:spacing w:before="120" w:beforeAutospacing="0" w:after="0" w:afterAutospacing="0" w:line="212" w:lineRule="atLeast"/>
        <w:ind w:firstLine="720"/>
        <w:jc w:val="both"/>
        <w:rPr>
          <w:color w:val="000000"/>
          <w:sz w:val="28"/>
          <w:szCs w:val="28"/>
        </w:rPr>
      </w:pPr>
    </w:p>
    <w:p w:rsidR="00F62DE8" w:rsidRDefault="00F62DE8"/>
    <w:sectPr w:rsidR="00F62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D7"/>
    <w:rsid w:val="00094780"/>
    <w:rsid w:val="000D1E44"/>
    <w:rsid w:val="0016793F"/>
    <w:rsid w:val="00471812"/>
    <w:rsid w:val="00580567"/>
    <w:rsid w:val="006D294F"/>
    <w:rsid w:val="007A78D7"/>
    <w:rsid w:val="00833FBE"/>
    <w:rsid w:val="00B11CB2"/>
    <w:rsid w:val="00E0121C"/>
    <w:rsid w:val="00F6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3F"/>
    <w:rPr>
      <w:rFonts w:ascii="Times New Roman" w:eastAsia="Calibri" w:hAnsi="Times New Roman" w:cs="Times New Roman"/>
    </w:rPr>
  </w:style>
  <w:style w:type="paragraph" w:styleId="Heading1">
    <w:name w:val="heading 1"/>
    <w:basedOn w:val="Normal"/>
    <w:next w:val="Normal"/>
    <w:link w:val="Heading1Char"/>
    <w:qFormat/>
    <w:rsid w:val="0016793F"/>
    <w:pPr>
      <w:keepNext/>
      <w:spacing w:after="0" w:line="240" w:lineRule="auto"/>
      <w:outlineLvl w:val="0"/>
    </w:pPr>
    <w:rPr>
      <w:rFonts w:ascii="VNI-Times" w:eastAsia="Times New Roman" w:hAnsi="VNI-Time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93F"/>
    <w:rPr>
      <w:rFonts w:ascii="VNI-Times" w:eastAsia="Times New Roman" w:hAnsi="VNI-Times" w:cs="Times New Roman"/>
      <w:sz w:val="24"/>
      <w:szCs w:val="20"/>
      <w:lang w:val="x-none" w:eastAsia="x-none"/>
    </w:rPr>
  </w:style>
  <w:style w:type="paragraph" w:styleId="NormalWeb">
    <w:name w:val="Normal (Web)"/>
    <w:basedOn w:val="Normal"/>
    <w:uiPriority w:val="99"/>
    <w:unhideWhenUsed/>
    <w:rsid w:val="0016793F"/>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167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3F"/>
    <w:rPr>
      <w:rFonts w:ascii="Times New Roman" w:eastAsia="Calibri" w:hAnsi="Times New Roman" w:cs="Times New Roman"/>
    </w:rPr>
  </w:style>
  <w:style w:type="paragraph" w:styleId="Heading1">
    <w:name w:val="heading 1"/>
    <w:basedOn w:val="Normal"/>
    <w:next w:val="Normal"/>
    <w:link w:val="Heading1Char"/>
    <w:qFormat/>
    <w:rsid w:val="0016793F"/>
    <w:pPr>
      <w:keepNext/>
      <w:spacing w:after="0" w:line="240" w:lineRule="auto"/>
      <w:outlineLvl w:val="0"/>
    </w:pPr>
    <w:rPr>
      <w:rFonts w:ascii="VNI-Times" w:eastAsia="Times New Roman" w:hAnsi="VNI-Time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93F"/>
    <w:rPr>
      <w:rFonts w:ascii="VNI-Times" w:eastAsia="Times New Roman" w:hAnsi="VNI-Times" w:cs="Times New Roman"/>
      <w:sz w:val="24"/>
      <w:szCs w:val="20"/>
      <w:lang w:val="x-none" w:eastAsia="x-none"/>
    </w:rPr>
  </w:style>
  <w:style w:type="paragraph" w:styleId="NormalWeb">
    <w:name w:val="Normal (Web)"/>
    <w:basedOn w:val="Normal"/>
    <w:uiPriority w:val="99"/>
    <w:unhideWhenUsed/>
    <w:rsid w:val="0016793F"/>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16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17450">
      <w:bodyDiv w:val="1"/>
      <w:marLeft w:val="0"/>
      <w:marRight w:val="0"/>
      <w:marTop w:val="0"/>
      <w:marBottom w:val="0"/>
      <w:divBdr>
        <w:top w:val="none" w:sz="0" w:space="0" w:color="auto"/>
        <w:left w:val="none" w:sz="0" w:space="0" w:color="auto"/>
        <w:bottom w:val="none" w:sz="0" w:space="0" w:color="auto"/>
        <w:right w:val="none" w:sz="0" w:space="0" w:color="auto"/>
      </w:divBdr>
    </w:div>
    <w:div w:id="666322517">
      <w:bodyDiv w:val="1"/>
      <w:marLeft w:val="0"/>
      <w:marRight w:val="0"/>
      <w:marTop w:val="0"/>
      <w:marBottom w:val="0"/>
      <w:divBdr>
        <w:top w:val="none" w:sz="0" w:space="0" w:color="auto"/>
        <w:left w:val="none" w:sz="0" w:space="0" w:color="auto"/>
        <w:bottom w:val="none" w:sz="0" w:space="0" w:color="auto"/>
        <w:right w:val="none" w:sz="0" w:space="0" w:color="auto"/>
      </w:divBdr>
    </w:div>
    <w:div w:id="684986465">
      <w:bodyDiv w:val="1"/>
      <w:marLeft w:val="0"/>
      <w:marRight w:val="0"/>
      <w:marTop w:val="0"/>
      <w:marBottom w:val="0"/>
      <w:divBdr>
        <w:top w:val="none" w:sz="0" w:space="0" w:color="auto"/>
        <w:left w:val="none" w:sz="0" w:space="0" w:color="auto"/>
        <w:bottom w:val="none" w:sz="0" w:space="0" w:color="auto"/>
        <w:right w:val="none" w:sz="0" w:space="0" w:color="auto"/>
      </w:divBdr>
    </w:div>
    <w:div w:id="14162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2017-08-21T02:21:00Z</dcterms:created>
  <dcterms:modified xsi:type="dcterms:W3CDTF">2017-08-24T03:03:00Z</dcterms:modified>
</cp:coreProperties>
</file>